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58466A" w:rsidP="00AA51A3">
      <w:pPr>
        <w:jc w:val="center"/>
        <w:rPr>
          <w:rFonts w:ascii="Arial" w:hAnsi="Arial" w:cs="Arial"/>
          <w:sz w:val="22"/>
          <w:szCs w:val="22"/>
        </w:rPr>
      </w:pPr>
      <w:r>
        <w:rPr>
          <w:rFonts w:ascii="Arial" w:hAnsi="Arial" w:cs="Arial"/>
          <w:bCs/>
          <w:sz w:val="22"/>
          <w:szCs w:val="22"/>
        </w:rPr>
        <w:t>Sept. 17</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58466A">
        <w:rPr>
          <w:rFonts w:ascii="Arial" w:hAnsi="Arial" w:cs="Arial"/>
          <w:sz w:val="20"/>
          <w:szCs w:val="20"/>
        </w:rPr>
        <w:t>2</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F94341" w:rsidRDefault="00287431" w:rsidP="0058466A">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58466A">
        <w:rPr>
          <w:rFonts w:ascii="Arial" w:hAnsi="Arial" w:cs="Arial"/>
          <w:bCs/>
          <w:sz w:val="20"/>
          <w:szCs w:val="20"/>
        </w:rPr>
        <w:t>Supervisor Beliveau made an addition to New Business, Item E – 2018 Tax Rate Request.  Motion was made by Ramsdell to approve the amended agenda for Sept. 17, 2018.</w:t>
      </w:r>
    </w:p>
    <w:p w:rsidR="0058466A" w:rsidRDefault="0058466A" w:rsidP="0058466A">
      <w:pPr>
        <w:rPr>
          <w:rFonts w:ascii="Arial" w:hAnsi="Arial" w:cs="Arial"/>
          <w:bCs/>
          <w:sz w:val="20"/>
          <w:szCs w:val="20"/>
        </w:rPr>
      </w:pPr>
      <w:r>
        <w:rPr>
          <w:rFonts w:ascii="Arial" w:hAnsi="Arial" w:cs="Arial"/>
          <w:bCs/>
          <w:sz w:val="20"/>
          <w:szCs w:val="20"/>
        </w:rPr>
        <w:t>Second by Graham</w:t>
      </w:r>
      <w:r>
        <w:rPr>
          <w:rFonts w:ascii="Arial" w:hAnsi="Arial" w:cs="Arial"/>
          <w:bCs/>
          <w:sz w:val="20"/>
          <w:szCs w:val="20"/>
        </w:rPr>
        <w:br/>
        <w:t>Unanimous – Voice Vote</w:t>
      </w:r>
    </w:p>
    <w:p w:rsidR="0058466A" w:rsidRDefault="0058466A" w:rsidP="0058466A">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58466A">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8466A">
        <w:rPr>
          <w:rFonts w:ascii="Arial" w:hAnsi="Arial" w:cs="Arial"/>
          <w:sz w:val="20"/>
          <w:szCs w:val="20"/>
        </w:rPr>
        <w:t>Ramsdell made the motion to approve the consent agenda.  Second by Moss</w:t>
      </w:r>
    </w:p>
    <w:p w:rsidR="0058466A" w:rsidRDefault="0058466A" w:rsidP="0058466A">
      <w:pPr>
        <w:rPr>
          <w:rFonts w:ascii="Arial" w:hAnsi="Arial" w:cs="Arial"/>
          <w:sz w:val="20"/>
          <w:szCs w:val="20"/>
        </w:rPr>
      </w:pPr>
      <w:r>
        <w:rPr>
          <w:rFonts w:ascii="Arial" w:hAnsi="Arial" w:cs="Arial"/>
          <w:sz w:val="20"/>
          <w:szCs w:val="20"/>
        </w:rPr>
        <w:t xml:space="preserve">Unanimous – Roll Call Vote </w:t>
      </w:r>
    </w:p>
    <w:p w:rsidR="0058466A" w:rsidRDefault="0058466A" w:rsidP="0058466A">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F94341">
        <w:rPr>
          <w:rFonts w:ascii="Arial" w:hAnsi="Arial" w:cs="Arial"/>
          <w:sz w:val="20"/>
          <w:szCs w:val="20"/>
        </w:rPr>
        <w:t>Bank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58466A" w:rsidRPr="0058466A" w:rsidRDefault="0058466A" w:rsidP="0058466A">
      <w:pPr>
        <w:pStyle w:val="ListParagraph"/>
        <w:ind w:left="640"/>
        <w:rPr>
          <w:rFonts w:ascii="Arial" w:hAnsi="Arial" w:cs="Arial"/>
          <w:b/>
          <w:sz w:val="20"/>
          <w:szCs w:val="20"/>
        </w:rPr>
      </w:pPr>
    </w:p>
    <w:p w:rsidR="005007AC" w:rsidRDefault="00051207" w:rsidP="00C0524D">
      <w:pPr>
        <w:rPr>
          <w:rFonts w:ascii="Arial" w:hAnsi="Arial" w:cs="Arial"/>
          <w:b/>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58466A" w:rsidRPr="0058466A" w:rsidRDefault="0058466A" w:rsidP="0058466A">
      <w:pPr>
        <w:pStyle w:val="ListParagraph"/>
        <w:numPr>
          <w:ilvl w:val="0"/>
          <w:numId w:val="13"/>
        </w:numPr>
        <w:rPr>
          <w:rFonts w:ascii="Arial" w:hAnsi="Arial" w:cs="Arial"/>
          <w:b/>
          <w:sz w:val="20"/>
          <w:szCs w:val="20"/>
        </w:rPr>
      </w:pPr>
      <w:r>
        <w:rPr>
          <w:rFonts w:ascii="Arial" w:hAnsi="Arial" w:cs="Arial"/>
          <w:b/>
          <w:sz w:val="20"/>
          <w:szCs w:val="20"/>
        </w:rPr>
        <w:t xml:space="preserve">Introduction of Ordinance #115 - </w:t>
      </w:r>
      <w:r>
        <w:rPr>
          <w:rFonts w:ascii="Arial" w:hAnsi="Arial" w:cs="Arial"/>
          <w:sz w:val="20"/>
          <w:szCs w:val="20"/>
        </w:rPr>
        <w:t xml:space="preserve"> Superintendent Sutton presented Ordinance #115 Public Safety and Fire Emergency Response Cost Recovery to the trustees. The Charter Township Act requires that the proposed ordinance be introduced at this me</w:t>
      </w:r>
      <w:r w:rsidR="002D1A41">
        <w:rPr>
          <w:rFonts w:ascii="Arial" w:hAnsi="Arial" w:cs="Arial"/>
          <w:sz w:val="20"/>
          <w:szCs w:val="20"/>
        </w:rPr>
        <w:t>eting.  Supervisor Beliveau gave</w:t>
      </w:r>
      <w:r>
        <w:rPr>
          <w:rFonts w:ascii="Arial" w:hAnsi="Arial" w:cs="Arial"/>
          <w:sz w:val="20"/>
          <w:szCs w:val="20"/>
        </w:rPr>
        <w:t xml:space="preserve"> the following introduction:</w:t>
      </w:r>
    </w:p>
    <w:p w:rsidR="0058466A" w:rsidRDefault="0058466A" w:rsidP="0058466A">
      <w:pPr>
        <w:pStyle w:val="ListParagraph"/>
        <w:ind w:left="640"/>
        <w:rPr>
          <w:rFonts w:ascii="Arial" w:hAnsi="Arial" w:cs="Arial"/>
          <w:b/>
          <w:sz w:val="20"/>
          <w:szCs w:val="20"/>
        </w:rPr>
      </w:pPr>
    </w:p>
    <w:p w:rsidR="0058466A" w:rsidRDefault="0075133E" w:rsidP="0058466A">
      <w:pPr>
        <w:rPr>
          <w:rFonts w:ascii="Arial" w:hAnsi="Arial" w:cs="Arial"/>
          <w:sz w:val="20"/>
          <w:szCs w:val="20"/>
        </w:rPr>
      </w:pPr>
      <w:r>
        <w:rPr>
          <w:rFonts w:ascii="Arial" w:hAnsi="Arial" w:cs="Arial"/>
          <w:sz w:val="20"/>
          <w:szCs w:val="20"/>
        </w:rPr>
        <w:t xml:space="preserve">     </w:t>
      </w:r>
      <w:r w:rsidR="0058466A" w:rsidRPr="0058466A">
        <w:rPr>
          <w:rFonts w:ascii="Arial" w:hAnsi="Arial" w:cs="Arial"/>
          <w:sz w:val="20"/>
          <w:szCs w:val="20"/>
        </w:rPr>
        <w:t xml:space="preserve">  I move that the Township Clerk comply with the Charter Township Act </w:t>
      </w:r>
      <w:r w:rsidR="0058466A" w:rsidRPr="005E6F16">
        <w:rPr>
          <w:rFonts w:ascii="Arial" w:hAnsi="Arial" w:cs="Arial"/>
          <w:sz w:val="20"/>
          <w:szCs w:val="20"/>
        </w:rPr>
        <w:t>by posting a complete</w:t>
      </w:r>
      <w:r w:rsidR="0058466A" w:rsidRPr="0058466A">
        <w:rPr>
          <w:rFonts w:ascii="Arial" w:hAnsi="Arial" w:cs="Arial"/>
          <w:sz w:val="20"/>
          <w:szCs w:val="20"/>
        </w:rPr>
        <w:t xml:space="preserve"> copy of Ordinance 115 at the office of the Township Clerk; by posting a complete copy of the proposed ordinance on the Township’s website; and by, within 7 days of the posting of the proposed ordinance, publishing a notice of the posting that describes the purpose of the proposed ordinance, that identifies the locations where the proposed ordinance has been posted, and that indicates when the Township Board will consider adopting the proposed ordinance. </w:t>
      </w:r>
    </w:p>
    <w:p w:rsidR="002D1A41" w:rsidRDefault="002D1A41" w:rsidP="0058466A">
      <w:pPr>
        <w:rPr>
          <w:rFonts w:ascii="Arial" w:hAnsi="Arial" w:cs="Arial"/>
          <w:sz w:val="20"/>
          <w:szCs w:val="20"/>
        </w:rPr>
      </w:pPr>
    </w:p>
    <w:p w:rsidR="002D1A41" w:rsidRDefault="002D1A41" w:rsidP="0058466A">
      <w:pPr>
        <w:rPr>
          <w:rFonts w:ascii="Arial" w:hAnsi="Arial" w:cs="Arial"/>
          <w:sz w:val="20"/>
          <w:szCs w:val="20"/>
        </w:rPr>
      </w:pPr>
      <w:r>
        <w:rPr>
          <w:rFonts w:ascii="Arial" w:hAnsi="Arial" w:cs="Arial"/>
          <w:sz w:val="20"/>
          <w:szCs w:val="20"/>
        </w:rPr>
        <w:t>No further action was taken by the board at this time.</w:t>
      </w:r>
    </w:p>
    <w:p w:rsidR="00E477DE" w:rsidRDefault="00E477DE" w:rsidP="0058466A">
      <w:pPr>
        <w:rPr>
          <w:rFonts w:ascii="Arial" w:hAnsi="Arial" w:cs="Arial"/>
          <w:sz w:val="20"/>
          <w:szCs w:val="20"/>
        </w:rPr>
      </w:pPr>
    </w:p>
    <w:p w:rsidR="00E477DE" w:rsidRDefault="00E477DE" w:rsidP="0058466A">
      <w:pPr>
        <w:rPr>
          <w:rFonts w:ascii="Arial" w:hAnsi="Arial" w:cs="Arial"/>
          <w:sz w:val="20"/>
          <w:szCs w:val="20"/>
        </w:rPr>
      </w:pPr>
    </w:p>
    <w:p w:rsidR="00E477DE" w:rsidRDefault="00E477DE" w:rsidP="0058466A">
      <w:pPr>
        <w:rPr>
          <w:rFonts w:ascii="Arial" w:hAnsi="Arial" w:cs="Arial"/>
          <w:sz w:val="20"/>
          <w:szCs w:val="20"/>
        </w:rPr>
      </w:pPr>
    </w:p>
    <w:p w:rsidR="00E477DE" w:rsidRDefault="00E477DE" w:rsidP="0058466A">
      <w:pPr>
        <w:rPr>
          <w:rFonts w:ascii="Arial" w:hAnsi="Arial" w:cs="Arial"/>
          <w:sz w:val="20"/>
          <w:szCs w:val="20"/>
        </w:rPr>
      </w:pPr>
    </w:p>
    <w:p w:rsidR="00E477DE" w:rsidRDefault="00E477DE" w:rsidP="0058466A">
      <w:pPr>
        <w:rPr>
          <w:rFonts w:ascii="Arial" w:hAnsi="Arial" w:cs="Arial"/>
          <w:sz w:val="20"/>
          <w:szCs w:val="20"/>
        </w:rPr>
      </w:pPr>
    </w:p>
    <w:p w:rsidR="00E477DE" w:rsidRDefault="00E477DE" w:rsidP="0058466A">
      <w:pPr>
        <w:rPr>
          <w:rFonts w:ascii="Arial" w:hAnsi="Arial" w:cs="Arial"/>
          <w:sz w:val="20"/>
          <w:szCs w:val="20"/>
        </w:rPr>
      </w:pPr>
    </w:p>
    <w:p w:rsidR="00E477DE" w:rsidRPr="0031508F" w:rsidRDefault="00E477DE" w:rsidP="00E477DE">
      <w:pPr>
        <w:pStyle w:val="ListParagraph"/>
        <w:numPr>
          <w:ilvl w:val="0"/>
          <w:numId w:val="13"/>
        </w:numPr>
        <w:rPr>
          <w:rFonts w:ascii="Arial" w:hAnsi="Arial" w:cs="Arial"/>
          <w:b/>
          <w:sz w:val="20"/>
          <w:szCs w:val="20"/>
        </w:rPr>
      </w:pPr>
      <w:r>
        <w:rPr>
          <w:rFonts w:ascii="Arial" w:hAnsi="Arial" w:cs="Arial"/>
          <w:b/>
          <w:sz w:val="20"/>
          <w:szCs w:val="20"/>
        </w:rPr>
        <w:t xml:space="preserve">Children’s Park Deposit Procedure – </w:t>
      </w:r>
      <w:r w:rsidR="005E6F16">
        <w:rPr>
          <w:rFonts w:ascii="Arial" w:hAnsi="Arial" w:cs="Arial"/>
          <w:sz w:val="20"/>
          <w:szCs w:val="20"/>
        </w:rPr>
        <w:t>Lately there have</w:t>
      </w:r>
      <w:r>
        <w:rPr>
          <w:rFonts w:ascii="Arial" w:hAnsi="Arial" w:cs="Arial"/>
          <w:sz w:val="20"/>
          <w:szCs w:val="20"/>
        </w:rPr>
        <w:t xml:space="preserve"> been complaints over the poor condition of the park after reservation use.   Included in the board packet was a form stating</w:t>
      </w:r>
      <w:r w:rsidR="005E6F16">
        <w:rPr>
          <w:rFonts w:ascii="Arial" w:hAnsi="Arial" w:cs="Arial"/>
          <w:sz w:val="20"/>
          <w:szCs w:val="20"/>
        </w:rPr>
        <w:t xml:space="preserve"> with recommended</w:t>
      </w:r>
      <w:r>
        <w:rPr>
          <w:rFonts w:ascii="Arial" w:hAnsi="Arial" w:cs="Arial"/>
          <w:sz w:val="20"/>
          <w:szCs w:val="20"/>
        </w:rPr>
        <w:t xml:space="preserve"> requirements which must be met in order to have a deposit returned.  If any of the requirements were not met, a deduction or </w:t>
      </w:r>
      <w:proofErr w:type="gramStart"/>
      <w:r>
        <w:rPr>
          <w:rFonts w:ascii="Arial" w:hAnsi="Arial" w:cs="Arial"/>
          <w:sz w:val="20"/>
          <w:szCs w:val="20"/>
        </w:rPr>
        <w:t>all</w:t>
      </w:r>
      <w:r w:rsidR="0031508F">
        <w:rPr>
          <w:rFonts w:ascii="Arial" w:hAnsi="Arial" w:cs="Arial"/>
          <w:sz w:val="20"/>
          <w:szCs w:val="20"/>
        </w:rPr>
        <w:t xml:space="preserve"> of</w:t>
      </w:r>
      <w:proofErr w:type="gramEnd"/>
      <w:r>
        <w:rPr>
          <w:rFonts w:ascii="Arial" w:hAnsi="Arial" w:cs="Arial"/>
          <w:sz w:val="20"/>
          <w:szCs w:val="20"/>
        </w:rPr>
        <w:t xml:space="preserve"> the deposit may be kept by the township.  It was decided to table the subject for further consideration.</w:t>
      </w:r>
    </w:p>
    <w:p w:rsidR="0031508F" w:rsidRPr="0031508F" w:rsidRDefault="0031508F" w:rsidP="00E477DE">
      <w:pPr>
        <w:pStyle w:val="ListParagraph"/>
        <w:numPr>
          <w:ilvl w:val="0"/>
          <w:numId w:val="13"/>
        </w:numPr>
        <w:rPr>
          <w:rFonts w:ascii="Arial" w:hAnsi="Arial" w:cs="Arial"/>
          <w:b/>
          <w:sz w:val="20"/>
          <w:szCs w:val="20"/>
        </w:rPr>
      </w:pPr>
      <w:r>
        <w:rPr>
          <w:rFonts w:ascii="Arial" w:hAnsi="Arial" w:cs="Arial"/>
          <w:b/>
          <w:sz w:val="20"/>
          <w:szCs w:val="20"/>
        </w:rPr>
        <w:t xml:space="preserve">Resolution 2018-9 – </w:t>
      </w:r>
      <w:r>
        <w:rPr>
          <w:rFonts w:ascii="Arial" w:hAnsi="Arial" w:cs="Arial"/>
          <w:sz w:val="20"/>
          <w:szCs w:val="20"/>
        </w:rPr>
        <w:t xml:space="preserve">Superintendent Sutton explained this resolution was required in conjunction with the agreed contract by Consumers Energy.  These documents were </w:t>
      </w:r>
      <w:proofErr w:type="gramStart"/>
      <w:r>
        <w:rPr>
          <w:rFonts w:ascii="Arial" w:hAnsi="Arial" w:cs="Arial"/>
          <w:sz w:val="20"/>
          <w:szCs w:val="20"/>
        </w:rPr>
        <w:t>in reference to</w:t>
      </w:r>
      <w:proofErr w:type="gramEnd"/>
      <w:r>
        <w:rPr>
          <w:rFonts w:ascii="Arial" w:hAnsi="Arial" w:cs="Arial"/>
          <w:sz w:val="20"/>
          <w:szCs w:val="20"/>
        </w:rPr>
        <w:t xml:space="preserve"> replacement of current lighting with LED lights. Janis made the motion to approve Resolution 2018-09 Consumers Energy Lighting.  Second by Barnes</w:t>
      </w:r>
      <w:r>
        <w:rPr>
          <w:rFonts w:ascii="Arial" w:hAnsi="Arial" w:cs="Arial"/>
          <w:sz w:val="20"/>
          <w:szCs w:val="20"/>
        </w:rPr>
        <w:br/>
        <w:t>Unanimous –</w:t>
      </w:r>
      <w:r>
        <w:rPr>
          <w:rFonts w:ascii="Arial" w:hAnsi="Arial" w:cs="Arial"/>
          <w:b/>
          <w:sz w:val="20"/>
          <w:szCs w:val="20"/>
        </w:rPr>
        <w:t xml:space="preserve"> </w:t>
      </w:r>
      <w:r>
        <w:rPr>
          <w:rFonts w:ascii="Arial" w:hAnsi="Arial" w:cs="Arial"/>
          <w:sz w:val="20"/>
          <w:szCs w:val="20"/>
        </w:rPr>
        <w:t>Roll Call Vote</w:t>
      </w:r>
      <w:r>
        <w:rPr>
          <w:rFonts w:ascii="Arial" w:hAnsi="Arial" w:cs="Arial"/>
          <w:sz w:val="20"/>
          <w:szCs w:val="20"/>
        </w:rPr>
        <w:br/>
        <w:t>Motion Carried</w:t>
      </w:r>
    </w:p>
    <w:p w:rsidR="00AC711A" w:rsidRPr="00AC711A" w:rsidRDefault="0031508F" w:rsidP="00AC711A">
      <w:pPr>
        <w:pStyle w:val="ListParagraph"/>
        <w:numPr>
          <w:ilvl w:val="0"/>
          <w:numId w:val="13"/>
        </w:numPr>
        <w:rPr>
          <w:rFonts w:ascii="Arial" w:hAnsi="Arial" w:cs="Arial"/>
          <w:b/>
          <w:sz w:val="20"/>
          <w:szCs w:val="20"/>
        </w:rPr>
      </w:pPr>
      <w:r>
        <w:rPr>
          <w:rFonts w:ascii="Arial" w:hAnsi="Arial" w:cs="Arial"/>
          <w:b/>
          <w:sz w:val="20"/>
          <w:szCs w:val="20"/>
        </w:rPr>
        <w:t xml:space="preserve">Construction of Zoning Ordinance #114 Amendment – </w:t>
      </w:r>
      <w:r>
        <w:rPr>
          <w:rFonts w:ascii="Arial" w:hAnsi="Arial" w:cs="Arial"/>
          <w:sz w:val="20"/>
          <w:szCs w:val="20"/>
        </w:rPr>
        <w:t>The Planning Commissioners submitted the proposed ordinance to the Township Board after a public hearing</w:t>
      </w:r>
      <w:r w:rsidR="00AC711A">
        <w:rPr>
          <w:rFonts w:ascii="Arial" w:hAnsi="Arial" w:cs="Arial"/>
          <w:sz w:val="20"/>
          <w:szCs w:val="20"/>
        </w:rPr>
        <w:t xml:space="preserve"> was held on July 24, 2018.  There were no comments received from the public hearing.  Graham made the motion to approve Zoning Ordinance #114, Article 3 Section3.02 Keeping of Female Chickens.  Second by Janis</w:t>
      </w:r>
      <w:r w:rsidR="00AC711A">
        <w:rPr>
          <w:rFonts w:ascii="Arial" w:hAnsi="Arial" w:cs="Arial"/>
          <w:sz w:val="20"/>
          <w:szCs w:val="20"/>
        </w:rPr>
        <w:br/>
        <w:t>Unanimous –</w:t>
      </w:r>
      <w:r w:rsidR="00AC711A">
        <w:rPr>
          <w:rFonts w:ascii="Arial" w:hAnsi="Arial" w:cs="Arial"/>
          <w:b/>
          <w:sz w:val="20"/>
          <w:szCs w:val="20"/>
        </w:rPr>
        <w:t xml:space="preserve"> </w:t>
      </w:r>
      <w:r w:rsidR="00AC711A">
        <w:rPr>
          <w:rFonts w:ascii="Arial" w:hAnsi="Arial" w:cs="Arial"/>
          <w:sz w:val="20"/>
          <w:szCs w:val="20"/>
        </w:rPr>
        <w:t>Roll Call Vote</w:t>
      </w:r>
    </w:p>
    <w:p w:rsidR="00AC711A" w:rsidRDefault="00AC711A" w:rsidP="00AC711A">
      <w:pPr>
        <w:pStyle w:val="ListParagraph"/>
        <w:ind w:left="640"/>
        <w:rPr>
          <w:rFonts w:ascii="Arial" w:hAnsi="Arial" w:cs="Arial"/>
          <w:sz w:val="20"/>
          <w:szCs w:val="20"/>
        </w:rPr>
      </w:pPr>
      <w:r>
        <w:rPr>
          <w:rFonts w:ascii="Arial" w:hAnsi="Arial" w:cs="Arial"/>
          <w:sz w:val="20"/>
          <w:szCs w:val="20"/>
        </w:rPr>
        <w:t>Motion Carried</w:t>
      </w:r>
    </w:p>
    <w:p w:rsidR="00AC711A" w:rsidRDefault="00AC711A" w:rsidP="00AC711A">
      <w:pPr>
        <w:pStyle w:val="ListParagraph"/>
        <w:numPr>
          <w:ilvl w:val="0"/>
          <w:numId w:val="13"/>
        </w:numPr>
        <w:rPr>
          <w:rFonts w:ascii="Arial" w:hAnsi="Arial" w:cs="Arial"/>
          <w:sz w:val="20"/>
          <w:szCs w:val="20"/>
        </w:rPr>
      </w:pPr>
      <w:r>
        <w:rPr>
          <w:rFonts w:ascii="Arial" w:hAnsi="Arial" w:cs="Arial"/>
          <w:b/>
          <w:sz w:val="20"/>
          <w:szCs w:val="20"/>
        </w:rPr>
        <w:t>2018 Tax Rate Request -</w:t>
      </w:r>
      <w:r>
        <w:rPr>
          <w:rFonts w:ascii="Arial" w:hAnsi="Arial" w:cs="Arial"/>
          <w:sz w:val="20"/>
          <w:szCs w:val="20"/>
        </w:rPr>
        <w:t xml:space="preserve">  The recommended 2018 Tax Rate Request was brought before the board with the following taxation to be considered:</w:t>
      </w:r>
    </w:p>
    <w:p w:rsidR="00AC711A" w:rsidRDefault="00AC711A" w:rsidP="00AC711A">
      <w:pPr>
        <w:pStyle w:val="ListParagraph"/>
        <w:ind w:left="640"/>
        <w:rPr>
          <w:rFonts w:ascii="Arial" w:hAnsi="Arial" w:cs="Arial"/>
          <w:sz w:val="20"/>
          <w:szCs w:val="20"/>
        </w:rPr>
      </w:pPr>
    </w:p>
    <w:p w:rsidR="00AC711A" w:rsidRPr="00AC711A" w:rsidRDefault="00AC711A" w:rsidP="00AC711A">
      <w:pPr>
        <w:rPr>
          <w:rFonts w:ascii="Arial" w:hAnsi="Arial" w:cs="Arial"/>
          <w:sz w:val="20"/>
          <w:szCs w:val="20"/>
        </w:rPr>
      </w:pPr>
      <w:proofErr w:type="spellStart"/>
      <w:r w:rsidRPr="00AC711A">
        <w:rPr>
          <w:rFonts w:ascii="Arial" w:hAnsi="Arial" w:cs="Arial"/>
          <w:b/>
          <w:sz w:val="20"/>
          <w:szCs w:val="20"/>
        </w:rPr>
        <w:t>Twp</w:t>
      </w:r>
      <w:proofErr w:type="spellEnd"/>
      <w:r w:rsidRPr="00AC711A">
        <w:rPr>
          <w:rFonts w:ascii="Arial" w:hAnsi="Arial" w:cs="Arial"/>
          <w:b/>
          <w:sz w:val="20"/>
          <w:szCs w:val="20"/>
        </w:rPr>
        <w:t xml:space="preserve"> Operating</w:t>
      </w:r>
      <w:r w:rsidRPr="00AC711A">
        <w:rPr>
          <w:rFonts w:ascii="Arial" w:hAnsi="Arial" w:cs="Arial"/>
          <w:sz w:val="20"/>
          <w:szCs w:val="20"/>
        </w:rPr>
        <w:t xml:space="preserve"> -  4.5182 with an anticipated collection of $427,995.69 providing an increase of $860.69 over 2017</w:t>
      </w:r>
    </w:p>
    <w:p w:rsidR="00AC711A" w:rsidRPr="00AC711A" w:rsidRDefault="00AC711A" w:rsidP="00AC711A">
      <w:pPr>
        <w:rPr>
          <w:rFonts w:ascii="Arial" w:hAnsi="Arial" w:cs="Arial"/>
          <w:sz w:val="20"/>
          <w:szCs w:val="20"/>
        </w:rPr>
      </w:pPr>
      <w:proofErr w:type="spellStart"/>
      <w:r w:rsidRPr="00AC711A">
        <w:rPr>
          <w:rFonts w:ascii="Arial" w:hAnsi="Arial" w:cs="Arial"/>
          <w:b/>
          <w:sz w:val="20"/>
          <w:szCs w:val="20"/>
        </w:rPr>
        <w:t>Twp</w:t>
      </w:r>
      <w:proofErr w:type="spellEnd"/>
      <w:r w:rsidRPr="00AC711A">
        <w:rPr>
          <w:rFonts w:ascii="Arial" w:hAnsi="Arial" w:cs="Arial"/>
          <w:b/>
          <w:sz w:val="20"/>
          <w:szCs w:val="20"/>
        </w:rPr>
        <w:t xml:space="preserve"> Fire Millage</w:t>
      </w:r>
      <w:r w:rsidRPr="00AC711A">
        <w:rPr>
          <w:rFonts w:ascii="Arial" w:hAnsi="Arial" w:cs="Arial"/>
          <w:sz w:val="20"/>
          <w:szCs w:val="20"/>
        </w:rPr>
        <w:t xml:space="preserve"> -  0.9848 with an anticipated collection of $93,287.18 providing an increase of $215.15 over 2017</w:t>
      </w:r>
    </w:p>
    <w:p w:rsidR="00AC711A" w:rsidRPr="00AC711A" w:rsidRDefault="00AC711A" w:rsidP="00AC711A">
      <w:pPr>
        <w:rPr>
          <w:rFonts w:ascii="Arial" w:hAnsi="Arial" w:cs="Arial"/>
          <w:sz w:val="20"/>
          <w:szCs w:val="20"/>
        </w:rPr>
      </w:pPr>
      <w:proofErr w:type="spellStart"/>
      <w:r w:rsidRPr="00AC711A">
        <w:rPr>
          <w:rFonts w:ascii="Arial" w:hAnsi="Arial" w:cs="Arial"/>
          <w:b/>
          <w:sz w:val="20"/>
          <w:szCs w:val="20"/>
        </w:rPr>
        <w:t>Twp</w:t>
      </w:r>
      <w:proofErr w:type="spellEnd"/>
      <w:r w:rsidRPr="00AC711A">
        <w:rPr>
          <w:rFonts w:ascii="Arial" w:hAnsi="Arial" w:cs="Arial"/>
          <w:b/>
          <w:sz w:val="20"/>
          <w:szCs w:val="20"/>
        </w:rPr>
        <w:t xml:space="preserve"> Police Millage</w:t>
      </w:r>
      <w:r w:rsidRPr="00AC711A">
        <w:rPr>
          <w:rFonts w:ascii="Arial" w:hAnsi="Arial" w:cs="Arial"/>
          <w:sz w:val="20"/>
          <w:szCs w:val="20"/>
        </w:rPr>
        <w:t xml:space="preserve"> -  1.2000 with an anticipated collection of $113,562.79</w:t>
      </w:r>
    </w:p>
    <w:p w:rsidR="00AC711A" w:rsidRPr="00AC711A" w:rsidRDefault="00AC711A" w:rsidP="00AC711A">
      <w:pPr>
        <w:rPr>
          <w:rFonts w:ascii="Arial" w:hAnsi="Arial" w:cs="Arial"/>
          <w:sz w:val="20"/>
          <w:szCs w:val="20"/>
        </w:rPr>
      </w:pPr>
      <w:r w:rsidRPr="00AC711A">
        <w:rPr>
          <w:rFonts w:ascii="Arial" w:hAnsi="Arial" w:cs="Arial"/>
          <w:b/>
          <w:sz w:val="20"/>
          <w:szCs w:val="20"/>
        </w:rPr>
        <w:t>Senior Center Millage</w:t>
      </w:r>
      <w:r w:rsidRPr="00AC711A">
        <w:rPr>
          <w:rFonts w:ascii="Arial" w:hAnsi="Arial" w:cs="Arial"/>
          <w:sz w:val="20"/>
          <w:szCs w:val="20"/>
        </w:rPr>
        <w:t xml:space="preserve"> – 0.0965 with an anticipated collection of 9,141.16 providing an increase of $15.54 over 2017</w:t>
      </w:r>
    </w:p>
    <w:p w:rsidR="00AC711A" w:rsidRDefault="00AC711A" w:rsidP="00AC711A">
      <w:pPr>
        <w:rPr>
          <w:rFonts w:ascii="Arial" w:hAnsi="Arial" w:cs="Arial"/>
          <w:sz w:val="20"/>
          <w:szCs w:val="20"/>
        </w:rPr>
      </w:pPr>
    </w:p>
    <w:p w:rsidR="00AC711A" w:rsidRDefault="00AC711A" w:rsidP="00AC711A">
      <w:pPr>
        <w:rPr>
          <w:rFonts w:ascii="Arial" w:hAnsi="Arial" w:cs="Arial"/>
          <w:sz w:val="20"/>
          <w:szCs w:val="20"/>
        </w:rPr>
      </w:pPr>
      <w:r>
        <w:rPr>
          <w:rFonts w:ascii="Arial" w:hAnsi="Arial" w:cs="Arial"/>
          <w:sz w:val="20"/>
          <w:szCs w:val="20"/>
        </w:rPr>
        <w:t xml:space="preserve">        Moss made the motion to approve the 2018 Tax Rate Request.  Second by Ramsdell</w:t>
      </w:r>
      <w:r>
        <w:rPr>
          <w:rFonts w:ascii="Arial" w:hAnsi="Arial" w:cs="Arial"/>
          <w:sz w:val="20"/>
          <w:szCs w:val="20"/>
        </w:rPr>
        <w:br/>
        <w:t xml:space="preserve">        Unanimous – Roll Call Vote</w:t>
      </w:r>
      <w:r>
        <w:rPr>
          <w:rFonts w:ascii="Arial" w:hAnsi="Arial" w:cs="Arial"/>
          <w:sz w:val="20"/>
          <w:szCs w:val="20"/>
        </w:rPr>
        <w:br/>
        <w:t xml:space="preserve">        Motion Carried</w:t>
      </w:r>
    </w:p>
    <w:p w:rsidR="005017F7" w:rsidRDefault="005017F7" w:rsidP="005017F7">
      <w:pPr>
        <w:ind w:left="310"/>
        <w:rPr>
          <w:rFonts w:ascii="Arial" w:hAnsi="Arial" w:cs="Arial"/>
          <w:b/>
          <w:bCs/>
          <w:sz w:val="22"/>
          <w:szCs w:val="22"/>
          <w:u w:val="single"/>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A36EC2" w:rsidRPr="00A36EC2" w:rsidRDefault="00AC711A" w:rsidP="00AC711A">
      <w:pPr>
        <w:pStyle w:val="ListParagraph"/>
        <w:numPr>
          <w:ilvl w:val="0"/>
          <w:numId w:val="14"/>
        </w:numPr>
        <w:rPr>
          <w:rFonts w:ascii="Arial" w:hAnsi="Arial" w:cs="Arial"/>
          <w:b/>
          <w:bCs/>
          <w:sz w:val="20"/>
          <w:szCs w:val="20"/>
        </w:rPr>
      </w:pPr>
      <w:r>
        <w:rPr>
          <w:rFonts w:ascii="Arial" w:hAnsi="Arial" w:cs="Arial"/>
          <w:b/>
          <w:bCs/>
          <w:sz w:val="20"/>
          <w:szCs w:val="20"/>
        </w:rPr>
        <w:t xml:space="preserve">Jeff Moss – RAB Update </w:t>
      </w:r>
      <w:r w:rsidR="00A36EC2">
        <w:rPr>
          <w:rFonts w:ascii="Arial" w:hAnsi="Arial" w:cs="Arial"/>
          <w:b/>
          <w:bCs/>
          <w:sz w:val="20"/>
          <w:szCs w:val="20"/>
        </w:rPr>
        <w:t>–</w:t>
      </w:r>
      <w:r>
        <w:rPr>
          <w:rFonts w:ascii="Arial" w:hAnsi="Arial" w:cs="Arial"/>
          <w:b/>
          <w:bCs/>
          <w:sz w:val="20"/>
          <w:szCs w:val="20"/>
        </w:rPr>
        <w:t xml:space="preserve"> </w:t>
      </w:r>
      <w:r w:rsidR="00A36EC2">
        <w:rPr>
          <w:rFonts w:ascii="Arial" w:hAnsi="Arial" w:cs="Arial"/>
          <w:bCs/>
          <w:sz w:val="20"/>
          <w:szCs w:val="20"/>
        </w:rPr>
        <w:t xml:space="preserve">Nothing to report </w:t>
      </w:r>
      <w:proofErr w:type="gramStart"/>
      <w:r w:rsidR="00A36EC2">
        <w:rPr>
          <w:rFonts w:ascii="Arial" w:hAnsi="Arial" w:cs="Arial"/>
          <w:bCs/>
          <w:sz w:val="20"/>
          <w:szCs w:val="20"/>
        </w:rPr>
        <w:t>at this time</w:t>
      </w:r>
      <w:proofErr w:type="gramEnd"/>
      <w:r w:rsidR="00A36EC2">
        <w:rPr>
          <w:rFonts w:ascii="Arial" w:hAnsi="Arial" w:cs="Arial"/>
          <w:bCs/>
          <w:sz w:val="20"/>
          <w:szCs w:val="20"/>
        </w:rPr>
        <w:t>.</w:t>
      </w:r>
    </w:p>
    <w:p w:rsidR="00AC711A" w:rsidRPr="00AC711A" w:rsidRDefault="00A36EC2" w:rsidP="00AC711A">
      <w:pPr>
        <w:pStyle w:val="ListParagraph"/>
        <w:numPr>
          <w:ilvl w:val="0"/>
          <w:numId w:val="14"/>
        </w:numPr>
        <w:rPr>
          <w:rFonts w:ascii="Arial" w:hAnsi="Arial" w:cs="Arial"/>
          <w:b/>
          <w:bCs/>
          <w:sz w:val="20"/>
          <w:szCs w:val="20"/>
        </w:rPr>
      </w:pPr>
      <w:r>
        <w:rPr>
          <w:rFonts w:ascii="Arial" w:hAnsi="Arial" w:cs="Arial"/>
          <w:b/>
          <w:bCs/>
          <w:sz w:val="20"/>
          <w:szCs w:val="20"/>
        </w:rPr>
        <w:t>Kelly Graham –</w:t>
      </w:r>
      <w:r>
        <w:rPr>
          <w:rFonts w:ascii="Arial" w:hAnsi="Arial" w:cs="Arial"/>
          <w:bCs/>
          <w:sz w:val="20"/>
          <w:szCs w:val="20"/>
        </w:rPr>
        <w:t xml:space="preserve"> </w:t>
      </w:r>
      <w:r>
        <w:rPr>
          <w:rFonts w:ascii="Arial" w:hAnsi="Arial" w:cs="Arial"/>
          <w:b/>
          <w:bCs/>
          <w:sz w:val="20"/>
          <w:szCs w:val="20"/>
        </w:rPr>
        <w:t>Iron Belle Trail</w:t>
      </w:r>
      <w:r>
        <w:rPr>
          <w:rFonts w:ascii="Arial" w:hAnsi="Arial" w:cs="Arial"/>
          <w:bCs/>
          <w:sz w:val="20"/>
          <w:szCs w:val="20"/>
        </w:rPr>
        <w:t xml:space="preserve"> – Spicer Group</w:t>
      </w:r>
      <w:r w:rsidR="00001AF1">
        <w:rPr>
          <w:rFonts w:ascii="Arial" w:hAnsi="Arial" w:cs="Arial"/>
          <w:bCs/>
          <w:sz w:val="20"/>
          <w:szCs w:val="20"/>
        </w:rPr>
        <w:t xml:space="preserve"> will be here next Thursday to g</w:t>
      </w:r>
      <w:r>
        <w:rPr>
          <w:rFonts w:ascii="Arial" w:hAnsi="Arial" w:cs="Arial"/>
          <w:bCs/>
          <w:sz w:val="20"/>
          <w:szCs w:val="20"/>
        </w:rPr>
        <w:t>ive a preliminary report for the three townships.</w:t>
      </w:r>
      <w:r>
        <w:rPr>
          <w:rFonts w:ascii="Arial" w:hAnsi="Arial" w:cs="Arial"/>
          <w:bCs/>
          <w:sz w:val="20"/>
          <w:szCs w:val="20"/>
        </w:rPr>
        <w:br/>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A36EC2">
        <w:rPr>
          <w:rFonts w:ascii="Arial" w:hAnsi="Arial" w:cs="Arial"/>
          <w:sz w:val="20"/>
          <w:szCs w:val="20"/>
        </w:rPr>
        <w:t>5:24</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A36EC2">
      <w:rPr>
        <w:rFonts w:asciiTheme="majorHAnsi" w:eastAsiaTheme="majorEastAsia" w:hAnsiTheme="majorHAnsi" w:cstheme="majorBidi"/>
        <w:color w:val="808080" w:themeColor="background1" w:themeShade="80"/>
        <w:sz w:val="16"/>
        <w:szCs w:val="16"/>
      </w:rPr>
      <w:t xml:space="preserve"> Sept. 17</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522A7"/>
    <w:multiLevelType w:val="hybridMultilevel"/>
    <w:tmpl w:val="9788E41C"/>
    <w:lvl w:ilvl="0" w:tplc="81B4424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E330A18"/>
    <w:multiLevelType w:val="hybridMultilevel"/>
    <w:tmpl w:val="B2A60AC2"/>
    <w:lvl w:ilvl="0" w:tplc="2986619A">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2"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75576AEC"/>
    <w:multiLevelType w:val="hybridMultilevel"/>
    <w:tmpl w:val="6EAAF250"/>
    <w:lvl w:ilvl="0" w:tplc="7B2E39DE">
      <w:start w:val="1"/>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6"/>
  </w:num>
  <w:num w:numId="2">
    <w:abstractNumId w:val="3"/>
  </w:num>
  <w:num w:numId="3">
    <w:abstractNumId w:val="12"/>
  </w:num>
  <w:num w:numId="4">
    <w:abstractNumId w:val="1"/>
  </w:num>
  <w:num w:numId="5">
    <w:abstractNumId w:val="0"/>
  </w:num>
  <w:num w:numId="6">
    <w:abstractNumId w:val="9"/>
  </w:num>
  <w:num w:numId="7">
    <w:abstractNumId w:val="2"/>
  </w:num>
  <w:num w:numId="8">
    <w:abstractNumId w:val="8"/>
  </w:num>
  <w:num w:numId="9">
    <w:abstractNumId w:val="11"/>
  </w:num>
  <w:num w:numId="10">
    <w:abstractNumId w:val="10"/>
  </w:num>
  <w:num w:numId="11">
    <w:abstractNumId w:val="5"/>
  </w:num>
  <w:num w:numId="12">
    <w:abstractNumId w:val="4"/>
  </w:num>
  <w:num w:numId="13">
    <w:abstractNumId w:val="7"/>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01AF1"/>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06B79"/>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D1A41"/>
    <w:rsid w:val="002E091F"/>
    <w:rsid w:val="002F70D2"/>
    <w:rsid w:val="0030234C"/>
    <w:rsid w:val="003068CB"/>
    <w:rsid w:val="0031303E"/>
    <w:rsid w:val="003130E0"/>
    <w:rsid w:val="0031508F"/>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8466A"/>
    <w:rsid w:val="00590660"/>
    <w:rsid w:val="0059405D"/>
    <w:rsid w:val="00596AC2"/>
    <w:rsid w:val="005A43AE"/>
    <w:rsid w:val="005B3CA5"/>
    <w:rsid w:val="005B5993"/>
    <w:rsid w:val="005C5FC7"/>
    <w:rsid w:val="005C6B1C"/>
    <w:rsid w:val="005C7F9F"/>
    <w:rsid w:val="005D3827"/>
    <w:rsid w:val="005D446B"/>
    <w:rsid w:val="005E588B"/>
    <w:rsid w:val="005E6F16"/>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133E"/>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36EC2"/>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AC711A"/>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C94"/>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477DE"/>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1467B"/>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DD33-C36B-4387-AE27-0BB1548F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2018-09-20T18:38:00Z</cp:lastPrinted>
  <dcterms:created xsi:type="dcterms:W3CDTF">2018-09-19T20:47:00Z</dcterms:created>
  <dcterms:modified xsi:type="dcterms:W3CDTF">2018-10-23T14:20:00Z</dcterms:modified>
</cp:coreProperties>
</file>